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D4" w:rsidRPr="00BC5F0A" w:rsidRDefault="003E4B44">
      <w:pPr>
        <w:pStyle w:val="Heading1"/>
      </w:pPr>
      <w:bookmarkStart w:id="0" w:name="_GoBack"/>
      <w:bookmarkEnd w:id="0"/>
      <w:r w:rsidRPr="00BC5F0A">
        <w:t>Bibliography</w:t>
      </w:r>
    </w:p>
    <w:p w:rsidR="009F60D4" w:rsidRDefault="003E4B44">
      <w:pPr>
        <w:pStyle w:val="Bibliography"/>
      </w:pPr>
      <w:r>
        <w:t>Banwell, C. Tahta, D. &amp; Saunders, K. (1972 updated 1986).</w:t>
      </w:r>
      <w:r>
        <w:rPr>
          <w:i/>
        </w:rPr>
        <w:t xml:space="preserve"> Starting Points: for teaching mathematics in middle and secondary schools</w:t>
      </w:r>
      <w:r>
        <w:t>. Diss: Tarquin.</w:t>
      </w:r>
    </w:p>
    <w:p w:rsidR="009F60D4" w:rsidRDefault="003E4B44">
      <w:pPr>
        <w:pStyle w:val="Bibliography"/>
      </w:pPr>
      <w:r>
        <w:t xml:space="preserve">Bennett, J. (1956-1966). </w:t>
      </w:r>
      <w:r>
        <w:rPr>
          <w:i/>
        </w:rPr>
        <w:t>The Dramatic Universe</w:t>
      </w:r>
      <w:r>
        <w:t xml:space="preserve"> (four volumes), London: Hodder &amp; Stoughton. </w:t>
      </w:r>
    </w:p>
    <w:p w:rsidR="009F60D4" w:rsidRDefault="003E4B44">
      <w:pPr>
        <w:pStyle w:val="Bibliography"/>
      </w:pPr>
      <w:r>
        <w:t>Bro</w:t>
      </w:r>
      <w:r>
        <w:t xml:space="preserve">wn S., Collins A., &amp; Duguid P. (1989). Situated cognition and the culture of learning. </w:t>
      </w:r>
      <w:r>
        <w:rPr>
          <w:i/>
        </w:rPr>
        <w:t>Educational Researcher</w:t>
      </w:r>
      <w:r>
        <w:t xml:space="preserve"> 18 (1) 32-41.</w:t>
      </w:r>
    </w:p>
    <w:p w:rsidR="009F60D4" w:rsidRDefault="003E4B44">
      <w:pPr>
        <w:pStyle w:val="Bibliography"/>
      </w:pPr>
      <w:r>
        <w:t xml:space="preserve">Bruner, J (1966). </w:t>
      </w:r>
      <w:r>
        <w:rPr>
          <w:i/>
        </w:rPr>
        <w:t>Towards a Theory of Instruction</w:t>
      </w:r>
      <w:r>
        <w:t>, Cambridge: Harvard University Press.</w:t>
      </w:r>
    </w:p>
    <w:p w:rsidR="009F60D4" w:rsidRDefault="003E4B44">
      <w:pPr>
        <w:pStyle w:val="Bibliography"/>
      </w:pPr>
      <w:r>
        <w:t>Burger, W. F. &amp; Shaughnessy J.M. (1986). Cha</w:t>
      </w:r>
      <w:r>
        <w:t xml:space="preserve">racterising the van Hiele levels of development in geometry. </w:t>
      </w:r>
      <w:r>
        <w:rPr>
          <w:rFonts w:ascii="Helvetica-Oblique" w:hAnsi="Helvetica-Oblique"/>
          <w:i/>
        </w:rPr>
        <w:t>Journal for Research in Mathematics Education</w:t>
      </w:r>
      <w:r>
        <w:rPr>
          <w:rFonts w:ascii="Helvetica-Oblique" w:hAnsi="Helvetica-Oblique"/>
        </w:rPr>
        <w:t>.</w:t>
      </w:r>
      <w:r>
        <w:rPr>
          <w:rFonts w:ascii="LucidaGrande-Bold" w:hAnsi="LucidaGrande-Bold"/>
          <w:b/>
        </w:rPr>
        <w:t xml:space="preserve"> </w:t>
      </w:r>
      <w:r w:rsidRPr="00A8292A">
        <w:t>17 (1)</w:t>
      </w:r>
      <w:r>
        <w:t>, p31-48.</w:t>
      </w:r>
    </w:p>
    <w:p w:rsidR="009F60D4" w:rsidRDefault="003E4B44">
      <w:pPr>
        <w:pStyle w:val="Bibliography"/>
      </w:pPr>
      <w:r>
        <w:t xml:space="preserve">Fischbein, E. (1987). </w:t>
      </w:r>
      <w:r>
        <w:rPr>
          <w:i/>
        </w:rPr>
        <w:t>Intuition in Science and Mathematics: an educational approach</w:t>
      </w:r>
      <w:r>
        <w:t>.</w:t>
      </w:r>
      <w:r w:rsidRPr="001C091D">
        <w:t xml:space="preserve"> </w:t>
      </w:r>
      <w:r>
        <w:t>Dordecht: Reidel.</w:t>
      </w:r>
    </w:p>
    <w:p w:rsidR="009F60D4" w:rsidRDefault="003E4B44">
      <w:pPr>
        <w:pStyle w:val="Bibliography"/>
      </w:pPr>
      <w:r>
        <w:t>Fischbein, E. (1993). The The</w:t>
      </w:r>
      <w:r>
        <w:t xml:space="preserve">ory of Figural Concepts. </w:t>
      </w:r>
      <w:r>
        <w:rPr>
          <w:i/>
        </w:rPr>
        <w:t>Educational Studies in Mathematics</w:t>
      </w:r>
      <w:r>
        <w:t>, 24 (2) 139-162.</w:t>
      </w:r>
    </w:p>
    <w:p w:rsidR="009F60D4" w:rsidRDefault="003E4B44">
      <w:pPr>
        <w:pStyle w:val="Bibliography"/>
      </w:pPr>
      <w:r>
        <w:t xml:space="preserve">Floyd, A., Burton, L., James, N., Mason, J. (1981). </w:t>
      </w:r>
      <w:r>
        <w:rPr>
          <w:i/>
        </w:rPr>
        <w:t>EM235: Developing Mathematical Thinking</w:t>
      </w:r>
      <w:r>
        <w:t>. Milton Keynes: Open University.</w:t>
      </w:r>
    </w:p>
    <w:p w:rsidR="009F60D4" w:rsidRDefault="003E4B44">
      <w:pPr>
        <w:pStyle w:val="Bibliography"/>
        <w:rPr>
          <w:szCs w:val="16"/>
        </w:rPr>
      </w:pPr>
      <w:r>
        <w:rPr>
          <w:szCs w:val="16"/>
        </w:rPr>
        <w:t>Gardner, M. (1977). Mathematical Games.</w:t>
      </w:r>
      <w:r>
        <w:rPr>
          <w:rFonts w:ascii="Helvetica" w:hAnsi="Helvetica"/>
          <w:szCs w:val="24"/>
        </w:rPr>
        <w:t xml:space="preserve"> </w:t>
      </w:r>
      <w:r w:rsidRPr="00A8292A">
        <w:rPr>
          <w:i/>
          <w:szCs w:val="16"/>
        </w:rPr>
        <w:t>Scientific Ame</w:t>
      </w:r>
      <w:r w:rsidRPr="00A8292A">
        <w:rPr>
          <w:i/>
          <w:szCs w:val="16"/>
        </w:rPr>
        <w:t>rican.</w:t>
      </w:r>
      <w:r>
        <w:rPr>
          <w:szCs w:val="16"/>
        </w:rPr>
        <w:t xml:space="preserve"> October. p18–25. </w:t>
      </w:r>
    </w:p>
    <w:p w:rsidR="009F60D4" w:rsidRDefault="003E4B44">
      <w:pPr>
        <w:pStyle w:val="Bibliography"/>
        <w:rPr>
          <w:szCs w:val="16"/>
        </w:rPr>
      </w:pPr>
      <w:r>
        <w:rPr>
          <w:szCs w:val="16"/>
        </w:rPr>
        <w:t>Gardner, M. (2001).</w:t>
      </w:r>
      <w:r>
        <w:rPr>
          <w:rFonts w:ascii="Helvetica" w:hAnsi="Helvetica"/>
          <w:szCs w:val="24"/>
        </w:rPr>
        <w:t xml:space="preserve"> </w:t>
      </w:r>
      <w:r w:rsidRPr="00A8292A">
        <w:rPr>
          <w:i/>
          <w:szCs w:val="16"/>
        </w:rPr>
        <w:t>The Colossal Book of Mathematics</w:t>
      </w:r>
      <w:r>
        <w:rPr>
          <w:szCs w:val="16"/>
        </w:rPr>
        <w:t xml:space="preserve">. New York: Norton. </w:t>
      </w:r>
    </w:p>
    <w:p w:rsidR="009F60D4" w:rsidRPr="008F64F4" w:rsidRDefault="003E4B44">
      <w:pPr>
        <w:pStyle w:val="Bibliography"/>
      </w:pPr>
      <w:r w:rsidRPr="008F64F4">
        <w:t xml:space="preserve">Hewitt, D. Fielder, B. &amp; Wigley, A. (2005). </w:t>
      </w:r>
      <w:r w:rsidRPr="008F64F4">
        <w:rPr>
          <w:i/>
        </w:rPr>
        <w:t>Developing Number 2</w:t>
      </w:r>
      <w:r w:rsidRPr="008F64F4">
        <w:t>, Derby: Association of Teachers of Mathematics.</w:t>
      </w:r>
    </w:p>
    <w:p w:rsidR="009F60D4" w:rsidRDefault="003E4B44">
      <w:pPr>
        <w:pStyle w:val="Bibliography"/>
      </w:pPr>
      <w:r>
        <w:t>Laborde, C. (2003). Géométrie - Période 2000 e</w:t>
      </w:r>
      <w:r>
        <w:t xml:space="preserve">t après. In D. Coray, F. Furinghetti, H. Gispert, B.R. Hodgson, &amp; G. Schubring (Eds.). </w:t>
      </w:r>
      <w:r>
        <w:rPr>
          <w:i/>
        </w:rPr>
        <w:t>One Hundred years of L’Enseignement Mathématique: moments of mathematical education in the twentieth century</w:t>
      </w:r>
      <w:r>
        <w:t>. Monograph 39. Geneva: L’Enseignement Mathématique.</w:t>
      </w:r>
    </w:p>
    <w:p w:rsidR="009F60D4" w:rsidRDefault="003E4B44">
      <w:pPr>
        <w:pStyle w:val="Bibliography"/>
      </w:pPr>
      <w:r>
        <w:t>Lave, J.</w:t>
      </w:r>
      <w:r>
        <w:t xml:space="preserve"> &amp; Wenger, E. (1991) </w:t>
      </w:r>
      <w:r>
        <w:rPr>
          <w:i/>
        </w:rPr>
        <w:t>Situated Learning: Legitimate Peripheral Participation</w:t>
      </w:r>
      <w:r>
        <w:t>.  Cambridge, MA: Cambridge University Press.</w:t>
      </w:r>
    </w:p>
    <w:p w:rsidR="009F60D4" w:rsidRDefault="003E4B44">
      <w:pPr>
        <w:pStyle w:val="Bibliography"/>
      </w:pPr>
      <w:r>
        <w:t xml:space="preserve">Marton, F. &amp; Booth, S. (1997). </w:t>
      </w:r>
      <w:r>
        <w:rPr>
          <w:i/>
        </w:rPr>
        <w:t>Learning and Awareness</w:t>
      </w:r>
      <w:r>
        <w:t>. Mahwah: Lawrence Erlbaum.</w:t>
      </w:r>
    </w:p>
    <w:p w:rsidR="009F60D4" w:rsidRDefault="003E4B44">
      <w:pPr>
        <w:pStyle w:val="Bibliography"/>
      </w:pPr>
      <w:r>
        <w:t xml:space="preserve">Marton, F. &amp; Tsui, A. (2004). </w:t>
      </w:r>
      <w:r>
        <w:rPr>
          <w:i/>
        </w:rPr>
        <w:t xml:space="preserve">Classroom Discourse and </w:t>
      </w:r>
      <w:r>
        <w:rPr>
          <w:i/>
        </w:rPr>
        <w:t>the Space of Learning</w:t>
      </w:r>
      <w:r>
        <w:t>. Mahwah: Erlbaum.</w:t>
      </w:r>
    </w:p>
    <w:p w:rsidR="009F60D4" w:rsidRDefault="003E4B44">
      <w:pPr>
        <w:pStyle w:val="Bibliography"/>
      </w:pPr>
      <w:r>
        <w:t xml:space="preserve">Marton, F. and Trigwell, K. (2000). Variatio est Mater Studiorum. </w:t>
      </w:r>
      <w:r>
        <w:rPr>
          <w:i/>
        </w:rPr>
        <w:t xml:space="preserve">Higher Education Research and Development. </w:t>
      </w:r>
      <w:r>
        <w:t>19 (3) p381-395.</w:t>
      </w:r>
    </w:p>
    <w:p w:rsidR="009F60D4" w:rsidRDefault="003E4B44">
      <w:pPr>
        <w:pStyle w:val="Bibliography"/>
      </w:pPr>
      <w:r>
        <w:t xml:space="preserve">Mason, J. &amp; Johnston-Wilder, S. (2004a). </w:t>
      </w:r>
      <w:r>
        <w:rPr>
          <w:i/>
        </w:rPr>
        <w:t>Fundamental Constructs in Mathematics Education</w:t>
      </w:r>
      <w:r>
        <w:t xml:space="preserve">. </w:t>
      </w:r>
      <w:r>
        <w:t>London: RoutledgeFalmer.</w:t>
      </w:r>
    </w:p>
    <w:p w:rsidR="009F60D4" w:rsidRDefault="003E4B44">
      <w:pPr>
        <w:pStyle w:val="Bibliography"/>
      </w:pPr>
      <w:r>
        <w:t xml:space="preserve">Mason, J. &amp; Johnston-Wilder, S. (2004b). </w:t>
      </w:r>
      <w:r>
        <w:rPr>
          <w:i/>
        </w:rPr>
        <w:t>Designing and Using Mathematical Tasks</w:t>
      </w:r>
      <w:r>
        <w:t>. Milton Keynes: Open University.</w:t>
      </w:r>
    </w:p>
    <w:p w:rsidR="009F60D4" w:rsidRDefault="003E4B44">
      <w:pPr>
        <w:pStyle w:val="Bibliography"/>
      </w:pPr>
      <w:r>
        <w:t xml:space="preserve">Mason, J. (1980). When is a Symbol Symbolic?. </w:t>
      </w:r>
      <w:r>
        <w:rPr>
          <w:i/>
        </w:rPr>
        <w:t>For the Learning of Mathematics</w:t>
      </w:r>
      <w:r>
        <w:t xml:space="preserve"> 1 (2) p8-12.</w:t>
      </w:r>
    </w:p>
    <w:p w:rsidR="009F60D4" w:rsidRDefault="003E4B44">
      <w:pPr>
        <w:pStyle w:val="Bibliography"/>
      </w:pPr>
      <w:r>
        <w:t>Mason, J. (1988). Fragments</w:t>
      </w:r>
      <w:r>
        <w:t xml:space="preserve">: the implications for teachers, learners and media users/researchers of personal construal and fragmentary recollection of aural and visual messages. </w:t>
      </w:r>
      <w:r>
        <w:rPr>
          <w:i/>
        </w:rPr>
        <w:t>Instructional Science</w:t>
      </w:r>
      <w:r>
        <w:t xml:space="preserve"> 17, p195-218.</w:t>
      </w:r>
    </w:p>
    <w:p w:rsidR="009F60D4" w:rsidRDefault="003E4B44">
      <w:pPr>
        <w:pStyle w:val="Bibliography"/>
      </w:pPr>
      <w:r>
        <w:t xml:space="preserve">Mason, J. (1999). Incitación al Estudiante para que Use su Capacidad </w:t>
      </w:r>
      <w:r>
        <w:t xml:space="preserve">Natural de Expresar Generalidad: las secuencias de Tunja, </w:t>
      </w:r>
      <w:r w:rsidRPr="00A8292A">
        <w:rPr>
          <w:i/>
        </w:rPr>
        <w:t>Revista EMA</w:t>
      </w:r>
      <w:r>
        <w:t xml:space="preserve"> 4 (3) p232-246.</w:t>
      </w:r>
    </w:p>
    <w:p w:rsidR="009F60D4" w:rsidRDefault="003E4B44">
      <w:pPr>
        <w:pStyle w:val="Bibliography"/>
        <w:rPr>
          <w:szCs w:val="16"/>
        </w:rPr>
      </w:pPr>
      <w:r>
        <w:t xml:space="preserve">Mason, J. (2001). Tunja Sequences as Examples of Employing Students’ Powers to Generalize, </w:t>
      </w:r>
      <w:r>
        <w:rPr>
          <w:i/>
        </w:rPr>
        <w:t>Mathematics Teacher</w:t>
      </w:r>
      <w:r>
        <w:t>, 94 (3) p164-169.</w:t>
      </w:r>
    </w:p>
    <w:p w:rsidR="009F60D4" w:rsidRPr="002B523A" w:rsidRDefault="003E4B44">
      <w:pPr>
        <w:pStyle w:val="Bibliography"/>
      </w:pPr>
      <w:r>
        <w:t>Mason, J. (2002). Generalisation and Alge</w:t>
      </w:r>
      <w:r>
        <w:t xml:space="preserve">bra: exploiting children's powers. In L. Haggerty (Ed.) </w:t>
      </w:r>
      <w:r>
        <w:rPr>
          <w:i/>
        </w:rPr>
        <w:t>Aspects of Teaching Secondary Mathematics: perspectives on practice</w:t>
      </w:r>
      <w:r>
        <w:t>. London: RoutledgeFalmer, p105-120.</w:t>
      </w:r>
    </w:p>
    <w:p w:rsidR="009F60D4" w:rsidRDefault="003E4B44">
      <w:pPr>
        <w:pStyle w:val="Bibliography"/>
      </w:pPr>
      <w:r>
        <w:t xml:space="preserve">Mason, J. Burton L. &amp; Stacey K. (1982). </w:t>
      </w:r>
      <w:r>
        <w:rPr>
          <w:i/>
        </w:rPr>
        <w:t>Thinking Mathematically</w:t>
      </w:r>
      <w:r>
        <w:t>. London: Addison Wesley.</w:t>
      </w:r>
    </w:p>
    <w:p w:rsidR="009F60D4" w:rsidRPr="002411DE" w:rsidRDefault="003E4B44">
      <w:pPr>
        <w:pStyle w:val="Bibliography"/>
      </w:pPr>
      <w:r w:rsidRPr="002411DE">
        <w:t xml:space="preserve">Mason, </w:t>
      </w:r>
      <w:r w:rsidRPr="002411DE">
        <w:t>J. with Johnston-Wilder, S. &amp; Graham, A. (2005).</w:t>
      </w:r>
      <w:r w:rsidRPr="002411DE">
        <w:rPr>
          <w:i/>
        </w:rPr>
        <w:t xml:space="preserve"> Developing Thinking in Algebra</w:t>
      </w:r>
      <w:r w:rsidRPr="002411DE">
        <w:t>. London: Sage.</w:t>
      </w:r>
    </w:p>
    <w:p w:rsidR="009F60D4" w:rsidRDefault="003E4B44">
      <w:pPr>
        <w:pStyle w:val="Bibliography"/>
      </w:pPr>
      <w:r>
        <w:lastRenderedPageBreak/>
        <w:t xml:space="preserve">MKazur, B. (2003). </w:t>
      </w:r>
      <w:r>
        <w:rPr>
          <w:i/>
        </w:rPr>
        <w:t>Imagining Numbers (particularly the square root of minus fifteen)</w:t>
      </w:r>
      <w:r>
        <w:t>. London: Allen Lane.</w:t>
      </w:r>
    </w:p>
    <w:p w:rsidR="009F60D4" w:rsidRDefault="003E4B44">
      <w:pPr>
        <w:pStyle w:val="Bibliography"/>
      </w:pPr>
      <w:r>
        <w:t xml:space="preserve">Norretranders, T. (1998). (J. Sydenham Trans.). </w:t>
      </w:r>
      <w:r>
        <w:rPr>
          <w:i/>
        </w:rPr>
        <w:t>The Use</w:t>
      </w:r>
      <w:r>
        <w:rPr>
          <w:i/>
        </w:rPr>
        <w:t xml:space="preserve">r Illusion: cutting consciousness down to size: </w:t>
      </w:r>
      <w:r>
        <w:t>London: Allen Lane.</w:t>
      </w:r>
    </w:p>
    <w:p w:rsidR="009F60D4" w:rsidRDefault="003E4B44">
      <w:pPr>
        <w:pStyle w:val="Bibliography"/>
      </w:pPr>
      <w:r>
        <w:t xml:space="preserve">Pirie, S and Kieren, T. (1994). Growth in Mathematical Understanding: How can we characterise it and how can we represent it?. </w:t>
      </w:r>
      <w:r>
        <w:rPr>
          <w:i/>
        </w:rPr>
        <w:t>Educational Studies in Mathematics</w:t>
      </w:r>
      <w:r>
        <w:t>. 26 (2-3), p165–190.</w:t>
      </w:r>
    </w:p>
    <w:p w:rsidR="009F60D4" w:rsidRDefault="003E4B44">
      <w:pPr>
        <w:pStyle w:val="Bibliography"/>
      </w:pPr>
      <w:r>
        <w:t>Polya</w:t>
      </w:r>
      <w:r>
        <w:rPr>
          <w:caps/>
        </w:rPr>
        <w:t>, G. (1962).</w:t>
      </w:r>
      <w:r>
        <w:t xml:space="preserve"> </w:t>
      </w:r>
      <w:r>
        <w:rPr>
          <w:i/>
        </w:rPr>
        <w:t>Mathematical Discovery: on understanding, learning, and teaching problem solving</w:t>
      </w:r>
      <w:r>
        <w:t>. New York: Wiley.</w:t>
      </w:r>
    </w:p>
    <w:p w:rsidR="009F60D4" w:rsidRPr="00A8292A" w:rsidRDefault="003E4B44">
      <w:pPr>
        <w:pStyle w:val="Bibliography"/>
      </w:pPr>
      <w:r w:rsidRPr="00A8292A">
        <w:rPr>
          <w:szCs w:val="32"/>
        </w:rPr>
        <w:t xml:space="preserve">Rubenstein, R. (2002). Building Explicit and Recursive Forms of Patterns with the Function Game.  </w:t>
      </w:r>
      <w:r w:rsidRPr="00A8292A">
        <w:rPr>
          <w:i/>
          <w:szCs w:val="32"/>
        </w:rPr>
        <w:t>Mathematics Teaching in the Middle School</w:t>
      </w:r>
      <w:r w:rsidRPr="00A8292A">
        <w:rPr>
          <w:szCs w:val="32"/>
        </w:rPr>
        <w:t>. 7 p</w:t>
      </w:r>
      <w:r w:rsidRPr="00A8292A">
        <w:rPr>
          <w:szCs w:val="32"/>
        </w:rPr>
        <w:t>426-431</w:t>
      </w:r>
    </w:p>
    <w:p w:rsidR="009F60D4" w:rsidRDefault="003E4B44">
      <w:pPr>
        <w:pStyle w:val="Bibliography"/>
      </w:pPr>
      <w:r>
        <w:t xml:space="preserve">Runesson, U. (2005). Beyond Discourse and Interaction. Variation: a critical aspect for teaching and learning mathematics. </w:t>
      </w:r>
      <w:r>
        <w:rPr>
          <w:i/>
        </w:rPr>
        <w:t>Cambridge Journal of Education</w:t>
      </w:r>
      <w:r>
        <w:t>. 35 (1) p69-88.</w:t>
      </w:r>
    </w:p>
    <w:p w:rsidR="009F60D4" w:rsidRDefault="003E4B44">
      <w:pPr>
        <w:pStyle w:val="Bibliography"/>
      </w:pPr>
      <w:r>
        <w:t xml:space="preserve">van Hiele, P. (1986). </w:t>
      </w:r>
      <w:r>
        <w:rPr>
          <w:i/>
        </w:rPr>
        <w:t>Structure and Insight: a theory of mathematics education</w:t>
      </w:r>
      <w:r>
        <w:t>, Developmental Psychology Series, London: Academic Press.</w:t>
      </w:r>
    </w:p>
    <w:p w:rsidR="009F60D4" w:rsidRDefault="003E4B44">
      <w:pPr>
        <w:pStyle w:val="Bibliography"/>
      </w:pPr>
      <w:r>
        <w:t>van Hiele-Geldof, D. (1957</w:t>
      </w:r>
      <w:r>
        <w:t xml:space="preserve">). The Didactiques of Geometry in the Lowest Class of Secondary School’, in D. Fuys, D. Geddes, &amp; R. Tichler (Eds.) 1984, </w:t>
      </w:r>
      <w:r>
        <w:rPr>
          <w:i/>
        </w:rPr>
        <w:t xml:space="preserve">English Translation of Selected Writings of Dina </w:t>
      </w:r>
      <w:r>
        <w:rPr>
          <w:i/>
        </w:rPr>
        <w:t>van Hiele-Geldof and Pierre M van Hiele</w:t>
      </w:r>
      <w:r>
        <w:t>, National Science Foundation, New York: Brooklyn College.</w:t>
      </w:r>
    </w:p>
    <w:p w:rsidR="009F60D4" w:rsidRDefault="003E4B44">
      <w:pPr>
        <w:pStyle w:val="Bibliography"/>
      </w:pPr>
      <w:r>
        <w:t xml:space="preserve">Watson A. &amp; Mason, J. (2002). Student-Generated Examples in the Learning of Mathematics, </w:t>
      </w:r>
      <w:r>
        <w:rPr>
          <w:i/>
        </w:rPr>
        <w:t>Canadian Journal of Science, Mathematics and Technology Education</w:t>
      </w:r>
      <w:r>
        <w:t xml:space="preserve">, 2 </w:t>
      </w:r>
      <w:r>
        <w:t>(2) p237-249.</w:t>
      </w:r>
    </w:p>
    <w:p w:rsidR="009F60D4" w:rsidRDefault="003E4B44">
      <w:pPr>
        <w:pStyle w:val="Bibliography"/>
      </w:pPr>
      <w:r>
        <w:t xml:space="preserve">Watson, A. &amp; Mason, J. (2005). </w:t>
      </w:r>
      <w:r>
        <w:rPr>
          <w:i/>
        </w:rPr>
        <w:t>Mathematics as a Constructive Activity: learners generating examples</w:t>
      </w:r>
      <w:r>
        <w:t>, Erlbaum, Mahwah.</w:t>
      </w:r>
    </w:p>
    <w:p w:rsidR="009F60D4" w:rsidRDefault="003E4B44">
      <w:pPr>
        <w:pStyle w:val="Bibliography"/>
        <w:rPr>
          <w:rFonts w:ascii="Times-Roman-OV-TZHEJC" w:hAnsi="Times-Roman-OV-TZHEJC"/>
        </w:rPr>
      </w:pPr>
      <w:r>
        <w:rPr>
          <w:rFonts w:ascii="Times-Roman-OV-TZHEJC" w:hAnsi="Times-Roman-OV-TZHEJC"/>
        </w:rPr>
        <w:t xml:space="preserve">Watson, A. (2000). Going across the grain: mathematical generalisation in a group of low attainers. </w:t>
      </w:r>
      <w:r>
        <w:rPr>
          <w:rFonts w:ascii="Times-Roman-OV-TZHEJC" w:hAnsi="Times-Roman-OV-TZHEJC"/>
          <w:i/>
        </w:rPr>
        <w:t>Nordisk Matematikk Didak</w:t>
      </w:r>
      <w:r>
        <w:rPr>
          <w:rFonts w:ascii="Times-Roman-OV-TZHEJC" w:hAnsi="Times-Roman-OV-TZHEJC"/>
          <w:i/>
        </w:rPr>
        <w:t>tikk (Nordic Studies in Mathematics Education)</w:t>
      </w:r>
      <w:r>
        <w:rPr>
          <w:rFonts w:ascii="Times-Roman-OV-TZHEJC" w:hAnsi="Times-Roman-OV-TZHEJC"/>
        </w:rPr>
        <w:t>. 8 (1) p7–22.</w:t>
      </w:r>
    </w:p>
    <w:p w:rsidR="009F60D4" w:rsidRDefault="003E4B44" w:rsidP="009F60D4">
      <w:r>
        <w:t xml:space="preserve">Whitehead, A.(1932). </w:t>
      </w:r>
      <w:r>
        <w:rPr>
          <w:i/>
        </w:rPr>
        <w:t>The Aims of Education and Other Essays</w:t>
      </w:r>
      <w:r>
        <w:t>. London: Williams &amp; Norgate.</w:t>
      </w:r>
    </w:p>
    <w:p w:rsidR="009F60D4" w:rsidRPr="00440CB2" w:rsidRDefault="003E4B44" w:rsidP="009F60D4">
      <w:pPr>
        <w:pStyle w:val="Bibliography"/>
      </w:pPr>
      <w:r>
        <w:rPr>
          <w:szCs w:val="26"/>
        </w:rPr>
        <w:t xml:space="preserve">Yackel, E. &amp; </w:t>
      </w:r>
      <w:r w:rsidRPr="00DA129D">
        <w:rPr>
          <w:rFonts w:ascii="Times-Bold" w:hAnsi="Times-Bold"/>
          <w:szCs w:val="26"/>
        </w:rPr>
        <w:t>Cobb</w:t>
      </w:r>
      <w:r>
        <w:rPr>
          <w:szCs w:val="26"/>
        </w:rPr>
        <w:t xml:space="preserve">, P. (1996). Sociomathematical </w:t>
      </w:r>
      <w:r w:rsidRPr="00DA129D">
        <w:rPr>
          <w:rFonts w:ascii="Times-Bold" w:hAnsi="Times-Bold"/>
          <w:szCs w:val="26"/>
        </w:rPr>
        <w:t>Norms</w:t>
      </w:r>
      <w:r>
        <w:rPr>
          <w:szCs w:val="26"/>
        </w:rPr>
        <w:t xml:space="preserve">, Argumentation and Autonomy in Mathematics. </w:t>
      </w:r>
      <w:r>
        <w:rPr>
          <w:rFonts w:ascii="Times-Italic" w:hAnsi="Times-Italic"/>
          <w:i/>
          <w:szCs w:val="26"/>
        </w:rPr>
        <w:t xml:space="preserve">Journal </w:t>
      </w:r>
      <w:r>
        <w:rPr>
          <w:rFonts w:ascii="Times-Italic" w:hAnsi="Times-Italic"/>
          <w:i/>
          <w:szCs w:val="26"/>
        </w:rPr>
        <w:t>for Research in Mathematics Education</w:t>
      </w:r>
      <w:r>
        <w:rPr>
          <w:szCs w:val="26"/>
        </w:rPr>
        <w:t>, 27, p458-477.</w:t>
      </w:r>
    </w:p>
    <w:p w:rsidR="009F60D4" w:rsidRPr="00B23577" w:rsidRDefault="003E4B44" w:rsidP="009F60D4">
      <w:pPr>
        <w:pStyle w:val="Display"/>
      </w:pPr>
    </w:p>
    <w:sectPr w:rsidR="009F60D4" w:rsidRPr="00B23577" w:rsidSect="009F60D4">
      <w:footerReference w:type="default" r:id="rId8"/>
      <w:pgSz w:w="11899" w:h="16838"/>
      <w:pgMar w:top="1440" w:right="1440" w:bottom="1440" w:left="1440" w:header="1440" w:footer="144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4B44">
      <w:pPr>
        <w:spacing w:before="0" w:after="0"/>
      </w:pPr>
      <w:r>
        <w:separator/>
      </w:r>
    </w:p>
  </w:endnote>
  <w:endnote w:type="continuationSeparator" w:id="0">
    <w:p w:rsidR="00000000" w:rsidRDefault="003E4B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-Oblique">
    <w:altName w:val="Helvetic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LucidaGrande-Bold">
    <w:altName w:val="Lucida Grand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Roman-OV-TZHEJC">
    <w:altName w:val="Palatino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-Italic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D4" w:rsidRDefault="003E4B4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4B44">
      <w:pPr>
        <w:spacing w:before="0" w:after="0"/>
      </w:pPr>
      <w:r>
        <w:separator/>
      </w:r>
    </w:p>
  </w:footnote>
  <w:footnote w:type="continuationSeparator" w:id="0">
    <w:p w:rsidR="00000000" w:rsidRDefault="003E4B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894607"/>
    <w:multiLevelType w:val="hybridMultilevel"/>
    <w:tmpl w:val="5F2C78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E4365"/>
    <w:multiLevelType w:val="singleLevel"/>
    <w:tmpl w:val="854AD1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4F2052A7"/>
    <w:multiLevelType w:val="hybridMultilevel"/>
    <w:tmpl w:val="463851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7663B"/>
    <w:multiLevelType w:val="hybridMultilevel"/>
    <w:tmpl w:val="9E2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30"/>
  <w:embedSystemFonts/>
  <w:activeWritingStyle w:appName="MSWord" w:lang="en-US" w:vendorID="6" w:dllVersion="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1"/>
    <w:rsid w:val="003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qFormat/>
    <w:pPr>
      <w:keepNext/>
      <w:spacing w:after="60"/>
      <w:outlineLvl w:val="0"/>
    </w:pPr>
    <w:rPr>
      <w:rFonts w:ascii="Comic Sans MS" w:hAnsi="Comic Sans MS"/>
      <w:b/>
      <w:caps/>
      <w:color w:val="800000"/>
      <w:sz w:val="28"/>
    </w:rPr>
  </w:style>
  <w:style w:type="paragraph" w:styleId="Heading2">
    <w:name w:val="heading 2"/>
    <w:aliases w:val="B head"/>
    <w:basedOn w:val="Heading1"/>
    <w:next w:val="Normal"/>
    <w:qFormat/>
    <w:rsid w:val="00504F1C"/>
    <w:pPr>
      <w:outlineLvl w:val="1"/>
    </w:pPr>
    <w:rPr>
      <w:caps w:val="0"/>
      <w:color w:val="0000FF"/>
      <w:sz w:val="24"/>
    </w:rPr>
  </w:style>
  <w:style w:type="paragraph" w:styleId="Heading3">
    <w:name w:val="heading 3"/>
    <w:aliases w:val="C head"/>
    <w:basedOn w:val="Heading2"/>
    <w:next w:val="Normal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qFormat/>
    <w:rsid w:val="00504F1C"/>
    <w:pPr>
      <w:keepNext/>
      <w:spacing w:before="60" w:after="60"/>
      <w:outlineLvl w:val="3"/>
    </w:pPr>
    <w:rPr>
      <w:i/>
      <w:color w:val="FF0000"/>
    </w:rPr>
  </w:style>
  <w:style w:type="paragraph" w:styleId="Heading5">
    <w:name w:val="heading 5"/>
    <w:aliases w:val="E head"/>
    <w:basedOn w:val="Normal"/>
    <w:next w:val="Normal"/>
    <w:qFormat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qFormat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hor">
    <w:name w:val="Author"/>
    <w:basedOn w:val="Normal"/>
    <w:next w:val="Heading1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pPr>
      <w:spacing w:before="60" w:after="60"/>
      <w:ind w:left="360" w:right="360"/>
    </w:pPr>
  </w:style>
  <w:style w:type="paragraph" w:customStyle="1" w:styleId="BDisplay">
    <w:name w:val="B Display"/>
    <w:basedOn w:val="Display"/>
    <w:pPr>
      <w:ind w:hanging="360"/>
    </w:pPr>
  </w:style>
  <w:style w:type="paragraph" w:styleId="Bibliography">
    <w:name w:val="Bibliography"/>
    <w:basedOn w:val="Normal"/>
    <w:pPr>
      <w:spacing w:before="60" w:after="60"/>
      <w:ind w:left="280" w:hanging="280"/>
    </w:pPr>
  </w:style>
  <w:style w:type="character" w:styleId="PageNumber">
    <w:name w:val="page number"/>
    <w:basedOn w:val="DefaultParagraphFont"/>
  </w:style>
  <w:style w:type="paragraph" w:customStyle="1" w:styleId="DDisplay">
    <w:name w:val="D Display"/>
    <w:basedOn w:val="Normal"/>
    <w:pPr>
      <w:spacing w:before="60" w:after="60"/>
      <w:ind w:left="560" w:right="774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basedOn w:val="DefaultParagraphFont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pPr>
      <w:spacing w:before="60"/>
    </w:pPr>
    <w:rPr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Index1">
    <w:name w:val="index 1"/>
    <w:basedOn w:val="Normal"/>
    <w:next w:val="Normal"/>
    <w:pPr>
      <w:spacing w:before="60" w:after="60"/>
    </w:pPr>
  </w:style>
  <w:style w:type="paragraph" w:styleId="List">
    <w:name w:val="List"/>
    <w:basedOn w:val="Display"/>
    <w:pPr>
      <w:spacing w:before="20" w:after="20"/>
    </w:pPr>
  </w:style>
  <w:style w:type="paragraph" w:styleId="Title">
    <w:name w:val="Title"/>
    <w:basedOn w:val="Heading1"/>
    <w:next w:val="Author"/>
    <w:qFormat/>
    <w:pPr>
      <w:spacing w:before="0"/>
      <w:jc w:val="center"/>
    </w:pPr>
    <w:rPr>
      <w:color w:val="000080"/>
    </w:rPr>
  </w:style>
  <w:style w:type="paragraph" w:customStyle="1" w:styleId="Comment">
    <w:name w:val="Comment"/>
    <w:basedOn w:val="Normal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pPr>
      <w:keepNext/>
    </w:pPr>
    <w:rPr>
      <w:i/>
    </w:rPr>
  </w:style>
  <w:style w:type="paragraph" w:customStyle="1" w:styleId="Task">
    <w:name w:val="Task"/>
    <w:basedOn w:val="Normal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paragraph" w:customStyle="1" w:styleId="TaskIndent">
    <w:name w:val="Task Indent"/>
    <w:basedOn w:val="Task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pPr>
      <w:jc w:val="center"/>
    </w:pPr>
  </w:style>
  <w:style w:type="paragraph" w:customStyle="1" w:styleId="QuotationsourceReference">
    <w:name w:val="Quotation source Reference"/>
    <w:aliases w:val="QR"/>
    <w:basedOn w:val="Normal"/>
    <w:next w:val="Normal"/>
    <w:pPr>
      <w:spacing w:before="0" w:after="240" w:line="240" w:lineRule="atLeast"/>
      <w:ind w:left="720" w:right="720"/>
      <w:jc w:val="center"/>
    </w:pPr>
  </w:style>
  <w:style w:type="paragraph" w:customStyle="1" w:styleId="Extract">
    <w:name w:val="Extract"/>
    <w:basedOn w:val="Normal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qFormat/>
    <w:pPr>
      <w:keepNext/>
      <w:spacing w:after="60"/>
      <w:outlineLvl w:val="0"/>
    </w:pPr>
    <w:rPr>
      <w:rFonts w:ascii="Comic Sans MS" w:hAnsi="Comic Sans MS"/>
      <w:b/>
      <w:caps/>
      <w:color w:val="800000"/>
      <w:sz w:val="28"/>
    </w:rPr>
  </w:style>
  <w:style w:type="paragraph" w:styleId="Heading2">
    <w:name w:val="heading 2"/>
    <w:aliases w:val="B head"/>
    <w:basedOn w:val="Heading1"/>
    <w:next w:val="Normal"/>
    <w:qFormat/>
    <w:rsid w:val="00504F1C"/>
    <w:pPr>
      <w:outlineLvl w:val="1"/>
    </w:pPr>
    <w:rPr>
      <w:caps w:val="0"/>
      <w:color w:val="0000FF"/>
      <w:sz w:val="24"/>
    </w:rPr>
  </w:style>
  <w:style w:type="paragraph" w:styleId="Heading3">
    <w:name w:val="heading 3"/>
    <w:aliases w:val="C head"/>
    <w:basedOn w:val="Heading2"/>
    <w:next w:val="Normal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qFormat/>
    <w:rsid w:val="00504F1C"/>
    <w:pPr>
      <w:keepNext/>
      <w:spacing w:before="60" w:after="60"/>
      <w:outlineLvl w:val="3"/>
    </w:pPr>
    <w:rPr>
      <w:i/>
      <w:color w:val="FF0000"/>
    </w:rPr>
  </w:style>
  <w:style w:type="paragraph" w:styleId="Heading5">
    <w:name w:val="heading 5"/>
    <w:aliases w:val="E head"/>
    <w:basedOn w:val="Normal"/>
    <w:next w:val="Normal"/>
    <w:qFormat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qFormat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hor">
    <w:name w:val="Author"/>
    <w:basedOn w:val="Normal"/>
    <w:next w:val="Heading1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pPr>
      <w:spacing w:before="60" w:after="60"/>
      <w:ind w:left="360" w:right="360"/>
    </w:pPr>
  </w:style>
  <w:style w:type="paragraph" w:customStyle="1" w:styleId="BDisplay">
    <w:name w:val="B Display"/>
    <w:basedOn w:val="Display"/>
    <w:pPr>
      <w:ind w:hanging="360"/>
    </w:pPr>
  </w:style>
  <w:style w:type="paragraph" w:styleId="Bibliography">
    <w:name w:val="Bibliography"/>
    <w:basedOn w:val="Normal"/>
    <w:pPr>
      <w:spacing w:before="60" w:after="60"/>
      <w:ind w:left="280" w:hanging="280"/>
    </w:pPr>
  </w:style>
  <w:style w:type="character" w:styleId="PageNumber">
    <w:name w:val="page number"/>
    <w:basedOn w:val="DefaultParagraphFont"/>
  </w:style>
  <w:style w:type="paragraph" w:customStyle="1" w:styleId="DDisplay">
    <w:name w:val="D Display"/>
    <w:basedOn w:val="Normal"/>
    <w:pPr>
      <w:spacing w:before="60" w:after="60"/>
      <w:ind w:left="560" w:right="774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basedOn w:val="DefaultParagraphFont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pPr>
      <w:spacing w:before="60"/>
    </w:pPr>
    <w:rPr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Index1">
    <w:name w:val="index 1"/>
    <w:basedOn w:val="Normal"/>
    <w:next w:val="Normal"/>
    <w:pPr>
      <w:spacing w:before="60" w:after="60"/>
    </w:pPr>
  </w:style>
  <w:style w:type="paragraph" w:styleId="List">
    <w:name w:val="List"/>
    <w:basedOn w:val="Display"/>
    <w:pPr>
      <w:spacing w:before="20" w:after="20"/>
    </w:pPr>
  </w:style>
  <w:style w:type="paragraph" w:styleId="Title">
    <w:name w:val="Title"/>
    <w:basedOn w:val="Heading1"/>
    <w:next w:val="Author"/>
    <w:qFormat/>
    <w:pPr>
      <w:spacing w:before="0"/>
      <w:jc w:val="center"/>
    </w:pPr>
    <w:rPr>
      <w:color w:val="000080"/>
    </w:rPr>
  </w:style>
  <w:style w:type="paragraph" w:customStyle="1" w:styleId="Comment">
    <w:name w:val="Comment"/>
    <w:basedOn w:val="Normal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pPr>
      <w:keepNext/>
    </w:pPr>
    <w:rPr>
      <w:i/>
    </w:rPr>
  </w:style>
  <w:style w:type="paragraph" w:customStyle="1" w:styleId="Task">
    <w:name w:val="Task"/>
    <w:basedOn w:val="Normal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paragraph" w:customStyle="1" w:styleId="TaskIndent">
    <w:name w:val="Task Indent"/>
    <w:basedOn w:val="Task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pPr>
      <w:jc w:val="center"/>
    </w:pPr>
  </w:style>
  <w:style w:type="paragraph" w:customStyle="1" w:styleId="QuotationsourceReference">
    <w:name w:val="Quotation source Reference"/>
    <w:aliases w:val="QR"/>
    <w:basedOn w:val="Normal"/>
    <w:next w:val="Normal"/>
    <w:pPr>
      <w:spacing w:before="0" w:after="240" w:line="240" w:lineRule="atLeast"/>
      <w:ind w:left="720" w:right="720"/>
      <w:jc w:val="center"/>
    </w:pPr>
  </w:style>
  <w:style w:type="paragraph" w:customStyle="1" w:styleId="Extract">
    <w:name w:val="Extract"/>
    <w:basedOn w:val="Normal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JHM</dc:creator>
  <cp:keywords/>
  <cp:lastModifiedBy>Mason</cp:lastModifiedBy>
  <cp:revision>2</cp:revision>
  <cp:lastPrinted>2003-09-30T08:17:00Z</cp:lastPrinted>
  <dcterms:created xsi:type="dcterms:W3CDTF">2011-09-05T08:31:00Z</dcterms:created>
  <dcterms:modified xsi:type="dcterms:W3CDTF">2011-09-05T08:31:00Z</dcterms:modified>
</cp:coreProperties>
</file>