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0DB2" w14:textId="7DA79D97" w:rsidR="000B36AB" w:rsidRDefault="008E394D" w:rsidP="00005D0F">
      <w:pPr>
        <w:pStyle w:val="Title"/>
      </w:pPr>
      <w:bookmarkStart w:id="0" w:name="_GoBack"/>
      <w:bookmarkEnd w:id="0"/>
      <w:r>
        <w:t>Magic Square Reasoning</w:t>
      </w:r>
    </w:p>
    <w:p w14:paraId="4FB2139F" w14:textId="4707BC91" w:rsidR="008E394D" w:rsidRDefault="008E394D" w:rsidP="008E394D">
      <w:pPr>
        <w:pStyle w:val="Author"/>
      </w:pPr>
      <w:r>
        <w:t>Notes by John M</w:t>
      </w:r>
      <w:r w:rsidR="00DB5DDE">
        <w:t>a</w:t>
      </w:r>
      <w:r>
        <w:t>son</w:t>
      </w:r>
      <w:r>
        <w:br/>
        <w:t>July 2011</w:t>
      </w:r>
    </w:p>
    <w:p w14:paraId="2709061B" w14:textId="0F309A5E" w:rsidR="008E394D" w:rsidRDefault="00872A22" w:rsidP="008E394D">
      <w:pPr>
        <w:pStyle w:val="Heading3"/>
      </w:pPr>
      <w:r>
        <w:t>Aim</w:t>
      </w:r>
    </w:p>
    <w:p w14:paraId="203C0CD5" w14:textId="5E858566" w:rsidR="008E394D" w:rsidRDefault="008E394D" w:rsidP="008E394D">
      <w:pPr>
        <w:pStyle w:val="Display"/>
      </w:pPr>
      <w:r>
        <w:t>To provide a context for reasoning mathematically without having to do arithmetic computations, and provoking learners into being aware of operations that can be performed on equations.</w:t>
      </w:r>
    </w:p>
    <w:p w14:paraId="17E24533" w14:textId="2A178039" w:rsidR="008E394D" w:rsidRDefault="008E394D" w:rsidP="008E394D">
      <w:pPr>
        <w:pStyle w:val="Heading3"/>
      </w:pPr>
      <w:r>
        <w:t>Setting</w:t>
      </w:r>
    </w:p>
    <w:p w14:paraId="435B8C05" w14:textId="270DF479" w:rsidR="008E394D" w:rsidRDefault="008E394D" w:rsidP="008E394D">
      <w:r>
        <w:t>A magic square is a square array of numbers for which the sum of all the entries in any row in any column, and on the two main diagonals, is the same.</w:t>
      </w:r>
    </w:p>
    <w:p w14:paraId="0FFE26D9" w14:textId="0B7BB021" w:rsidR="008E394D" w:rsidRDefault="008E394D" w:rsidP="008E394D">
      <w:pPr>
        <w:pStyle w:val="Heading6"/>
      </w:pPr>
      <w:r>
        <w:t>Task 1</w:t>
      </w:r>
      <w:r w:rsidR="009F0C2C">
        <w:t>: 3 by 3 Magic Square</w:t>
      </w:r>
    </w:p>
    <w:p w14:paraId="5C9A946E" w14:textId="5D93D1B1" w:rsidR="008E394D" w:rsidRDefault="008E394D" w:rsidP="008E394D">
      <w:pPr>
        <w:pStyle w:val="Task"/>
      </w:pPr>
      <w:bookmarkStart w:id="1" w:name="OLE_LINK1"/>
      <w:bookmarkStart w:id="2" w:name="OLE_LINK2"/>
      <w:r>
        <w:t>Why</w:t>
      </w:r>
      <w:r w:rsidR="009F0C2C">
        <w:t>, for any 3 by 3 magic square,</w:t>
      </w:r>
      <w:r>
        <w:t xml:space="preserve"> must the sum of the </w:t>
      </w:r>
      <w:r w:rsidR="009F0C2C">
        <w:t>red (</w:t>
      </w:r>
      <w:r>
        <w:t>dark shaded</w:t>
      </w:r>
      <w:r w:rsidR="009F0C2C">
        <w:t>)</w:t>
      </w:r>
      <w:r>
        <w:t xml:space="preserve"> squares be the same as the sum of the </w:t>
      </w:r>
      <w:r w:rsidR="00780269">
        <w:t>blue</w:t>
      </w:r>
      <w:r w:rsidR="009F0C2C">
        <w:t xml:space="preserve"> (</w:t>
      </w:r>
      <w:r>
        <w:t>light shaded</w:t>
      </w:r>
      <w:r w:rsidR="009F0C2C">
        <w:t>)</w:t>
      </w:r>
      <w:r>
        <w:t xml:space="preserve"> squares in each diagram?</w:t>
      </w:r>
    </w:p>
    <w:p w14:paraId="313D2F88" w14:textId="10DBE332" w:rsidR="008E394D" w:rsidRDefault="00BA4604" w:rsidP="0020063B">
      <w:pPr>
        <w:pStyle w:val="Task"/>
        <w:jc w:val="center"/>
      </w:pPr>
      <w:r>
        <w:rPr>
          <w:noProof/>
          <w:snapToGrid/>
          <w:lang w:val="en-US"/>
        </w:rPr>
        <w:drawing>
          <wp:inline distT="0" distB="0" distL="0" distR="0" wp14:anchorId="4B37AB29" wp14:editId="62B471E0">
            <wp:extent cx="1025112"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112" cy="1016000"/>
                    </a:xfrm>
                    <a:prstGeom prst="rect">
                      <a:avLst/>
                    </a:prstGeom>
                    <a:noFill/>
                    <a:ln>
                      <a:noFill/>
                    </a:ln>
                  </pic:spPr>
                </pic:pic>
              </a:graphicData>
            </a:graphic>
          </wp:inline>
        </w:drawing>
      </w:r>
      <w:r w:rsidR="0020063B">
        <w:t xml:space="preserve">      </w:t>
      </w:r>
      <w:r>
        <w:rPr>
          <w:noProof/>
          <w:snapToGrid/>
          <w:lang w:val="en-US"/>
        </w:rPr>
        <w:drawing>
          <wp:inline distT="0" distB="0" distL="0" distR="0" wp14:anchorId="3452EA98" wp14:editId="1C157BB6">
            <wp:extent cx="1028700" cy="1019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303" cy="1020154"/>
                    </a:xfrm>
                    <a:prstGeom prst="rect">
                      <a:avLst/>
                    </a:prstGeom>
                    <a:noFill/>
                    <a:ln>
                      <a:noFill/>
                    </a:ln>
                  </pic:spPr>
                </pic:pic>
              </a:graphicData>
            </a:graphic>
          </wp:inline>
        </w:drawing>
      </w:r>
      <w:r w:rsidR="0020063B">
        <w:t xml:space="preserve">      </w:t>
      </w:r>
      <w:r w:rsidR="0020063B">
        <w:rPr>
          <w:noProof/>
          <w:snapToGrid/>
          <w:lang w:val="en-US"/>
        </w:rPr>
        <w:drawing>
          <wp:inline distT="0" distB="0" distL="0" distR="0" wp14:anchorId="3CC92601" wp14:editId="6DE8B704">
            <wp:extent cx="1028700" cy="1019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962" cy="1019814"/>
                    </a:xfrm>
                    <a:prstGeom prst="rect">
                      <a:avLst/>
                    </a:prstGeom>
                    <a:noFill/>
                    <a:ln>
                      <a:noFill/>
                    </a:ln>
                  </pic:spPr>
                </pic:pic>
              </a:graphicData>
            </a:graphic>
          </wp:inline>
        </w:drawing>
      </w:r>
      <w:r w:rsidR="00350C93">
        <w:t xml:space="preserve">      </w:t>
      </w:r>
      <w:r w:rsidR="00350C93">
        <w:rPr>
          <w:noProof/>
          <w:snapToGrid/>
          <w:lang w:val="en-US"/>
        </w:rPr>
        <w:drawing>
          <wp:inline distT="0" distB="0" distL="0" distR="0" wp14:anchorId="5A71F1CD" wp14:editId="51F07596">
            <wp:extent cx="1003935" cy="1009150"/>
            <wp:effectExtent l="0" t="0" r="1206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251" cy="1009468"/>
                    </a:xfrm>
                    <a:prstGeom prst="rect">
                      <a:avLst/>
                    </a:prstGeom>
                    <a:noFill/>
                    <a:ln>
                      <a:noFill/>
                    </a:ln>
                  </pic:spPr>
                </pic:pic>
              </a:graphicData>
            </a:graphic>
          </wp:inline>
        </w:drawing>
      </w:r>
    </w:p>
    <w:p w14:paraId="08FE3725" w14:textId="52E4C656" w:rsidR="00DB5DDE" w:rsidRDefault="00DB5DDE" w:rsidP="008E394D">
      <w:pPr>
        <w:pStyle w:val="Task"/>
      </w:pPr>
      <w:r>
        <w:t>What is the scope of ‘any’ 3 by 3 magic square?</w:t>
      </w:r>
    </w:p>
    <w:p w14:paraId="50373A63" w14:textId="1B962B75" w:rsidR="00350C93" w:rsidRDefault="008E394D" w:rsidP="008E394D">
      <w:pPr>
        <w:pStyle w:val="Task"/>
      </w:pPr>
      <w:r>
        <w:t>What other configurations can you find for which the sum of the dark</w:t>
      </w:r>
      <w:r w:rsidR="00780269">
        <w:t>/red</w:t>
      </w:r>
      <w:r>
        <w:t xml:space="preserve"> shaded squares is the sum of the light</w:t>
      </w:r>
      <w:r w:rsidR="00780269">
        <w:t>/blue</w:t>
      </w:r>
      <w:r>
        <w:t xml:space="preserve"> shaded ones?</w:t>
      </w:r>
      <w:bookmarkEnd w:id="1"/>
      <w:bookmarkEnd w:id="2"/>
      <w:r w:rsidR="00350C93">
        <w:t xml:space="preserve"> </w:t>
      </w:r>
    </w:p>
    <w:p w14:paraId="644EEB94" w14:textId="0AE04F3E" w:rsidR="00780269" w:rsidRDefault="00350C93" w:rsidP="008E394D">
      <w:pPr>
        <w:pStyle w:val="Task"/>
      </w:pPr>
      <w:r>
        <w:t>Do all colou</w:t>
      </w:r>
      <w:r w:rsidR="00780269">
        <w:t>r-symmetric configurations work</w:t>
      </w:r>
      <w:r>
        <w:t xml:space="preserve"> (interchanging colours is a </w:t>
      </w:r>
      <w:r w:rsidR="00780269">
        <w:t xml:space="preserve">geometric </w:t>
      </w:r>
      <w:r>
        <w:t>symmetry)</w:t>
      </w:r>
      <w:r w:rsidR="00780269">
        <w:t>?</w:t>
      </w:r>
    </w:p>
    <w:p w14:paraId="022B7200" w14:textId="6C7010C1" w:rsidR="008E394D" w:rsidRDefault="008E394D" w:rsidP="008E394D">
      <w:pPr>
        <w:pStyle w:val="Heading6"/>
      </w:pPr>
      <w:r>
        <w:t>Task</w:t>
      </w:r>
      <w:r w:rsidR="009F0C2C">
        <w:t xml:space="preserve"> </w:t>
      </w:r>
      <w:r>
        <w:t>2</w:t>
      </w:r>
      <w:r w:rsidR="009F0C2C">
        <w:t>: 4 by 4 Magic Squares</w:t>
      </w:r>
    </w:p>
    <w:p w14:paraId="0AB490A4" w14:textId="54448C5B" w:rsidR="008E394D" w:rsidRDefault="008E394D" w:rsidP="008E394D">
      <w:pPr>
        <w:pStyle w:val="Task"/>
      </w:pPr>
      <w:r>
        <w:t>Why must the sum of the dark</w:t>
      </w:r>
      <w:r w:rsidR="00780269">
        <w:t>/red</w:t>
      </w:r>
      <w:r>
        <w:t xml:space="preserve"> shaded squares be the same as the sum of the light</w:t>
      </w:r>
      <w:r w:rsidR="00780269">
        <w:t>/blue</w:t>
      </w:r>
      <w:r>
        <w:t xml:space="preserve"> shaded squares in each diagram?</w:t>
      </w:r>
    </w:p>
    <w:p w14:paraId="4C1D9B40" w14:textId="1D42B923" w:rsidR="008E394D" w:rsidRDefault="00AD381A" w:rsidP="00AD381A">
      <w:pPr>
        <w:pStyle w:val="Task"/>
        <w:jc w:val="center"/>
      </w:pPr>
      <w:r>
        <w:rPr>
          <w:noProof/>
          <w:snapToGrid/>
          <w:lang w:val="en-US"/>
        </w:rPr>
        <w:drawing>
          <wp:inline distT="0" distB="0" distL="0" distR="0" wp14:anchorId="21F8D4AA" wp14:editId="385A8B55">
            <wp:extent cx="1041400" cy="104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sidR="00BF149F">
        <w:t xml:space="preserve">    </w:t>
      </w:r>
      <w:r w:rsidR="00BF149F">
        <w:rPr>
          <w:noProof/>
          <w:snapToGrid/>
          <w:lang w:val="en-US"/>
        </w:rPr>
        <w:drawing>
          <wp:inline distT="0" distB="0" distL="0" distR="0" wp14:anchorId="067E1135" wp14:editId="66B264B2">
            <wp:extent cx="1028700" cy="1028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BF149F">
        <w:t xml:space="preserve">    </w:t>
      </w:r>
      <w:r w:rsidR="000D7932">
        <w:t xml:space="preserve"> </w:t>
      </w:r>
      <w:r w:rsidR="000D7932">
        <w:rPr>
          <w:noProof/>
          <w:snapToGrid/>
          <w:lang w:val="en-US"/>
        </w:rPr>
        <w:drawing>
          <wp:inline distT="0" distB="0" distL="0" distR="0" wp14:anchorId="0EC63EC6" wp14:editId="3EAE41AE">
            <wp:extent cx="1021080" cy="1021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565FB1E8" w14:textId="1F8051E5" w:rsidR="008E394D" w:rsidRDefault="008E394D" w:rsidP="008E394D">
      <w:pPr>
        <w:pStyle w:val="Task"/>
      </w:pPr>
      <w:r>
        <w:t>What other configurations can you find for which the sum of the dark</w:t>
      </w:r>
      <w:r w:rsidR="00780269">
        <w:t>/red</w:t>
      </w:r>
      <w:r>
        <w:t xml:space="preserve"> shaded squares is the sum of the light</w:t>
      </w:r>
      <w:r w:rsidR="00780269">
        <w:t>/blue</w:t>
      </w:r>
      <w:r>
        <w:t xml:space="preserve"> shaded ones?</w:t>
      </w:r>
    </w:p>
    <w:p w14:paraId="3E1A8448" w14:textId="461BB080" w:rsidR="000D7932" w:rsidRDefault="000D7932" w:rsidP="008E394D">
      <w:pPr>
        <w:pStyle w:val="Task"/>
      </w:pPr>
      <w:r>
        <w:t>Do all colour-symmetric configurations work?</w:t>
      </w:r>
    </w:p>
    <w:p w14:paraId="1A51905B" w14:textId="2A809766" w:rsidR="000D7932" w:rsidRDefault="000D7932" w:rsidP="000D7932">
      <w:pPr>
        <w:pStyle w:val="Heading6"/>
      </w:pPr>
      <w:r>
        <w:t>Task 3: Is It Magic?</w:t>
      </w:r>
    </w:p>
    <w:p w14:paraId="2F4EF63E" w14:textId="223CE877" w:rsidR="000D7932" w:rsidRPr="000D7932" w:rsidRDefault="000D7932" w:rsidP="000D7932">
      <w:pPr>
        <w:pStyle w:val="Task"/>
      </w:pPr>
      <w:r>
        <w:t xml:space="preserve">How many of the row, column and diagonal sums have to be known to have the same value in order to be able to deduce that the square must be magic?  In </w:t>
      </w:r>
      <w:proofErr w:type="spellStart"/>
      <w:r>
        <w:t>otherwords</w:t>
      </w:r>
      <w:proofErr w:type="spellEnd"/>
      <w:r>
        <w:t>, can you have a non-magic square for which just one row has a different sum to all the other rows, the columns and the diagonal?</w:t>
      </w:r>
    </w:p>
    <w:p w14:paraId="0A6EA6BF" w14:textId="58325FCA" w:rsidR="008E394D" w:rsidRDefault="008E394D" w:rsidP="008E394D">
      <w:pPr>
        <w:pStyle w:val="Heading3"/>
      </w:pPr>
      <w:r>
        <w:t>Notes</w:t>
      </w:r>
    </w:p>
    <w:p w14:paraId="7541435D" w14:textId="1094536C" w:rsidR="006D0080" w:rsidRPr="006D0080" w:rsidRDefault="008E394D" w:rsidP="00780269">
      <w:r>
        <w:t>The constant row, column an</w:t>
      </w:r>
      <w:r w:rsidR="00780269">
        <w:t xml:space="preserve">d diagonal sums are like axioms; </w:t>
      </w:r>
      <w:r>
        <w:t>Removing cells common to a row and a column preserves the equality of sums.</w:t>
      </w:r>
    </w:p>
    <w:sectPr w:rsidR="006D0080" w:rsidRPr="006D0080" w:rsidSect="00545A12">
      <w:footerReference w:type="even" r:id="rId16"/>
      <w:footerReference w:type="default" r:id="rId17"/>
      <w:type w:val="continuous"/>
      <w:pgSz w:w="11901" w:h="16840"/>
      <w:pgMar w:top="1134" w:right="873" w:bottom="1389"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C49A" w14:textId="77777777" w:rsidR="00BF149F" w:rsidRDefault="00BF149F">
      <w:pPr>
        <w:spacing w:before="0" w:after="0"/>
      </w:pPr>
      <w:r>
        <w:separator/>
      </w:r>
    </w:p>
  </w:endnote>
  <w:endnote w:type="continuationSeparator" w:id="0">
    <w:p w14:paraId="2B99500A" w14:textId="77777777" w:rsidR="00BF149F" w:rsidRDefault="00BF14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3482" w14:textId="77777777" w:rsidR="00BF149F" w:rsidRDefault="00BF149F"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9932E80" w14:textId="77777777" w:rsidR="00BF149F" w:rsidRDefault="00BF14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95A4" w14:textId="77777777" w:rsidR="00BF149F" w:rsidRDefault="00BF149F"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780269">
      <w:rPr>
        <w:rStyle w:val="PageNumber"/>
        <w:noProof/>
      </w:rPr>
      <w:t>2</w:t>
    </w:r>
    <w:r>
      <w:rPr>
        <w:rStyle w:val="PageNumber"/>
      </w:rPr>
      <w:fldChar w:fldCharType="end"/>
    </w:r>
  </w:p>
  <w:p w14:paraId="6E9D7457" w14:textId="77777777" w:rsidR="00BF149F" w:rsidRDefault="00BF149F"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8833" w14:textId="77777777" w:rsidR="00BF149F" w:rsidRDefault="00BF149F">
      <w:pPr>
        <w:spacing w:before="0" w:after="0"/>
      </w:pPr>
      <w:r>
        <w:separator/>
      </w:r>
    </w:p>
  </w:footnote>
  <w:footnote w:type="continuationSeparator" w:id="0">
    <w:p w14:paraId="0519FB92" w14:textId="77777777" w:rsidR="00BF149F" w:rsidRDefault="00BF149F">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B8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D68882"/>
    <w:lvl w:ilvl="0">
      <w:start w:val="1"/>
      <w:numFmt w:val="decimal"/>
      <w:lvlText w:val="%1."/>
      <w:lvlJc w:val="left"/>
      <w:pPr>
        <w:tabs>
          <w:tab w:val="num" w:pos="1492"/>
        </w:tabs>
        <w:ind w:left="1492" w:hanging="360"/>
      </w:pPr>
    </w:lvl>
  </w:abstractNum>
  <w:abstractNum w:abstractNumId="2">
    <w:nsid w:val="FFFFFF7D"/>
    <w:multiLevelType w:val="singleLevel"/>
    <w:tmpl w:val="99D89A30"/>
    <w:lvl w:ilvl="0">
      <w:start w:val="1"/>
      <w:numFmt w:val="decimal"/>
      <w:lvlText w:val="%1."/>
      <w:lvlJc w:val="left"/>
      <w:pPr>
        <w:tabs>
          <w:tab w:val="num" w:pos="1209"/>
        </w:tabs>
        <w:ind w:left="1209" w:hanging="360"/>
      </w:pPr>
    </w:lvl>
  </w:abstractNum>
  <w:abstractNum w:abstractNumId="3">
    <w:nsid w:val="FFFFFF7E"/>
    <w:multiLevelType w:val="singleLevel"/>
    <w:tmpl w:val="E8A81352"/>
    <w:lvl w:ilvl="0">
      <w:start w:val="1"/>
      <w:numFmt w:val="decimal"/>
      <w:lvlText w:val="%1."/>
      <w:lvlJc w:val="left"/>
      <w:pPr>
        <w:tabs>
          <w:tab w:val="num" w:pos="926"/>
        </w:tabs>
        <w:ind w:left="926" w:hanging="360"/>
      </w:pPr>
    </w:lvl>
  </w:abstractNum>
  <w:abstractNum w:abstractNumId="4">
    <w:nsid w:val="FFFFFF7F"/>
    <w:multiLevelType w:val="singleLevel"/>
    <w:tmpl w:val="9CFE6C80"/>
    <w:lvl w:ilvl="0">
      <w:start w:val="1"/>
      <w:numFmt w:val="decimal"/>
      <w:lvlText w:val="%1."/>
      <w:lvlJc w:val="left"/>
      <w:pPr>
        <w:tabs>
          <w:tab w:val="num" w:pos="643"/>
        </w:tabs>
        <w:ind w:left="643" w:hanging="360"/>
      </w:pPr>
    </w:lvl>
  </w:abstractNum>
  <w:abstractNum w:abstractNumId="5">
    <w:nsid w:val="FFFFFF80"/>
    <w:multiLevelType w:val="singleLevel"/>
    <w:tmpl w:val="E4EA76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088C39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E0DB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7688C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604F1E"/>
    <w:lvl w:ilvl="0">
      <w:start w:val="1"/>
      <w:numFmt w:val="decimal"/>
      <w:lvlText w:val="%1."/>
      <w:lvlJc w:val="left"/>
      <w:pPr>
        <w:tabs>
          <w:tab w:val="num" w:pos="360"/>
        </w:tabs>
        <w:ind w:left="360" w:hanging="360"/>
      </w:pPr>
    </w:lvl>
  </w:abstractNum>
  <w:abstractNum w:abstractNumId="10">
    <w:nsid w:val="FFFFFF89"/>
    <w:multiLevelType w:val="singleLevel"/>
    <w:tmpl w:val="22AEF254"/>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17">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19">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2"/>
  </w:num>
  <w:num w:numId="4">
    <w:abstractNumId w:val="18"/>
  </w:num>
  <w:num w:numId="5">
    <w:abstractNumId w:val="16"/>
  </w:num>
  <w:num w:numId="6">
    <w:abstractNumId w:val="20"/>
  </w:num>
  <w:num w:numId="7">
    <w:abstractNumId w:val="19"/>
  </w:num>
  <w:num w:numId="8">
    <w:abstractNumId w:val="15"/>
  </w:num>
  <w:num w:numId="9">
    <w:abstractNumId w:val="14"/>
  </w:num>
  <w:num w:numId="10">
    <w:abstractNumId w:val="17"/>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activeWritingStyle w:appName="MSWord" w:lang="en-US" w:vendorID="6" w:dllVersion="2" w:checkStyle="1"/>
  <w:activeWritingStyle w:appName="MSWord" w:lang="en-GB" w:vendorID="6" w:dllVersion="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D0F"/>
    <w:rsid w:val="00057CA1"/>
    <w:rsid w:val="00092577"/>
    <w:rsid w:val="00092CBA"/>
    <w:rsid w:val="00097DBC"/>
    <w:rsid w:val="000B36AB"/>
    <w:rsid w:val="000D7932"/>
    <w:rsid w:val="00151234"/>
    <w:rsid w:val="00171DEA"/>
    <w:rsid w:val="001A3CBF"/>
    <w:rsid w:val="001B4D26"/>
    <w:rsid w:val="001B5AC4"/>
    <w:rsid w:val="001C2F86"/>
    <w:rsid w:val="001C34B6"/>
    <w:rsid w:val="001D4254"/>
    <w:rsid w:val="0020063B"/>
    <w:rsid w:val="00275A93"/>
    <w:rsid w:val="002906BC"/>
    <w:rsid w:val="002C0675"/>
    <w:rsid w:val="0031017B"/>
    <w:rsid w:val="00341488"/>
    <w:rsid w:val="00350C93"/>
    <w:rsid w:val="003C00AE"/>
    <w:rsid w:val="003D1605"/>
    <w:rsid w:val="003E55E3"/>
    <w:rsid w:val="004347A1"/>
    <w:rsid w:val="004403D8"/>
    <w:rsid w:val="00450B3F"/>
    <w:rsid w:val="00461BFD"/>
    <w:rsid w:val="004A4931"/>
    <w:rsid w:val="004A4D96"/>
    <w:rsid w:val="004D2303"/>
    <w:rsid w:val="004F5717"/>
    <w:rsid w:val="00502770"/>
    <w:rsid w:val="00545A12"/>
    <w:rsid w:val="005669E7"/>
    <w:rsid w:val="005C48AD"/>
    <w:rsid w:val="00613C70"/>
    <w:rsid w:val="006A0EB2"/>
    <w:rsid w:val="006C27D4"/>
    <w:rsid w:val="006D0080"/>
    <w:rsid w:val="00713CEC"/>
    <w:rsid w:val="0071513C"/>
    <w:rsid w:val="00722CC7"/>
    <w:rsid w:val="007375A9"/>
    <w:rsid w:val="00780269"/>
    <w:rsid w:val="007823C9"/>
    <w:rsid w:val="00793963"/>
    <w:rsid w:val="007B2D5B"/>
    <w:rsid w:val="007C574B"/>
    <w:rsid w:val="00846627"/>
    <w:rsid w:val="00852E13"/>
    <w:rsid w:val="00872A22"/>
    <w:rsid w:val="008D656D"/>
    <w:rsid w:val="008E394D"/>
    <w:rsid w:val="008F14CE"/>
    <w:rsid w:val="008F49C7"/>
    <w:rsid w:val="00911EAC"/>
    <w:rsid w:val="009F0C2C"/>
    <w:rsid w:val="00A16B16"/>
    <w:rsid w:val="00A2235A"/>
    <w:rsid w:val="00AC7E8A"/>
    <w:rsid w:val="00AD381A"/>
    <w:rsid w:val="00AD6CEE"/>
    <w:rsid w:val="00AE7298"/>
    <w:rsid w:val="00AF3E6A"/>
    <w:rsid w:val="00AF558B"/>
    <w:rsid w:val="00B42424"/>
    <w:rsid w:val="00B6060E"/>
    <w:rsid w:val="00BA2153"/>
    <w:rsid w:val="00BA4604"/>
    <w:rsid w:val="00BB7357"/>
    <w:rsid w:val="00BC7BE9"/>
    <w:rsid w:val="00BE1E86"/>
    <w:rsid w:val="00BF149F"/>
    <w:rsid w:val="00C14D2D"/>
    <w:rsid w:val="00C21452"/>
    <w:rsid w:val="00C41C0A"/>
    <w:rsid w:val="00C45C5B"/>
    <w:rsid w:val="00CB789E"/>
    <w:rsid w:val="00CC03F9"/>
    <w:rsid w:val="00CC3F9A"/>
    <w:rsid w:val="00CF23F2"/>
    <w:rsid w:val="00D1072F"/>
    <w:rsid w:val="00D35424"/>
    <w:rsid w:val="00D4243E"/>
    <w:rsid w:val="00D81B5B"/>
    <w:rsid w:val="00D85BD0"/>
    <w:rsid w:val="00DA388B"/>
    <w:rsid w:val="00DA4D59"/>
    <w:rsid w:val="00DB5DDE"/>
    <w:rsid w:val="00DF44AE"/>
    <w:rsid w:val="00E42EC6"/>
    <w:rsid w:val="00EC19FB"/>
    <w:rsid w:val="00F01AE7"/>
    <w:rsid w:val="00F103E9"/>
    <w:rsid w:val="00F26103"/>
    <w:rsid w:val="00F442A5"/>
    <w:rsid w:val="00F7488E"/>
    <w:rsid w:val="00FA6462"/>
    <w:rsid w:val="00FC2528"/>
    <w:rsid w:val="00FE74C8"/>
    <w:rsid w:val="00FF08A7"/>
    <w:rsid w:val="00FF7D6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0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3" w:qFormat="1"/>
    <w:lsdException w:name="Title" w:qFormat="1"/>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rsid w:val="00450B3F"/>
    <w:pPr>
      <w:shd w:val="clear" w:color="auto" w:fill="000080"/>
    </w:pPr>
    <w:rPr>
      <w:rFonts w:ascii="Geneva" w:hAnsi="Geneva"/>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character" w:styleId="Hyperlink">
    <w:name w:val="Hyperlink"/>
    <w:rsid w:val="00BB578B"/>
    <w:rPr>
      <w:color w:val="0000FF"/>
      <w:u w:val="single"/>
    </w:r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ED0BC7"/>
    <w:rPr>
      <w:color w:val="800080"/>
      <w:u w:val="single"/>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2906B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character" w:styleId="CommentReference">
    <w:name w:val="annotation reference"/>
    <w:basedOn w:val="DefaultParagraphFont"/>
    <w:rsid w:val="002906BC"/>
    <w:rPr>
      <w:sz w:val="18"/>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3" w:qFormat="1"/>
    <w:lsdException w:name="Title" w:qFormat="1"/>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rsid w:val="00450B3F"/>
    <w:pPr>
      <w:shd w:val="clear" w:color="auto" w:fill="000080"/>
    </w:pPr>
    <w:rPr>
      <w:rFonts w:ascii="Geneva" w:hAnsi="Geneva"/>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character" w:styleId="Hyperlink">
    <w:name w:val="Hyperlink"/>
    <w:rsid w:val="00BB578B"/>
    <w:rPr>
      <w:color w:val="0000FF"/>
      <w:u w:val="single"/>
    </w:r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ED0BC7"/>
    <w:rPr>
      <w:color w:val="800080"/>
      <w:u w:val="single"/>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2906B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character" w:styleId="CommentReference">
    <w:name w:val="annotation reference"/>
    <w:basedOn w:val="DefaultParagraphFont"/>
    <w:rsid w:val="002906BC"/>
    <w:rPr>
      <w:sz w:val="18"/>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791C-FD47-AC4B-B866-C4F315D1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2</cp:revision>
  <cp:lastPrinted>2011-07-20T08:43:00Z</cp:lastPrinted>
  <dcterms:created xsi:type="dcterms:W3CDTF">2011-08-05T19:31:00Z</dcterms:created>
  <dcterms:modified xsi:type="dcterms:W3CDTF">2011-08-05T19:31:00Z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